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90BC5" w:rsidRPr="00BF6CA2" w:rsidRDefault="00E90BC5" w:rsidP="00E90BC5">
      <w:pPr>
        <w:spacing w:after="240" w:line="200" w:lineRule="atLeast"/>
        <w:rPr>
          <w:rFonts w:ascii="Arial" w:hAnsi="Arial" w:cs="Arial"/>
          <w:b/>
          <w:sz w:val="28"/>
          <w:szCs w:val="28"/>
        </w:rPr>
      </w:pPr>
      <w:r>
        <w:rPr>
          <w:rFonts w:ascii="Arial" w:hAnsi="Arial"/>
          <w:b/>
          <w:sz w:val="28"/>
        </w:rPr>
        <w:t>Mobilair M76/M81</w:t>
      </w:r>
    </w:p>
    <w:p w:rsidR="00E90BC5" w:rsidRPr="00BF6CA2" w:rsidRDefault="00E90BC5" w:rsidP="00E90BC5">
      <w:pPr>
        <w:spacing w:after="240" w:line="200" w:lineRule="atLeast"/>
        <w:rPr>
          <w:rFonts w:ascii="Arial" w:hAnsi="Arial" w:cs="Arial"/>
          <w:b/>
          <w:sz w:val="52"/>
          <w:szCs w:val="52"/>
        </w:rPr>
      </w:pPr>
      <w:r>
        <w:rPr>
          <w:rFonts w:ascii="Arial" w:hAnsi="Arial"/>
          <w:b/>
          <w:sz w:val="52"/>
        </w:rPr>
        <w:t xml:space="preserve">Solución de futuro para obras exigentes </w:t>
      </w:r>
    </w:p>
    <w:p w:rsidR="00E90BC5" w:rsidRPr="00BF6CA2" w:rsidRDefault="00E90BC5" w:rsidP="00E90BC5">
      <w:pPr>
        <w:pStyle w:val="StandardWeb"/>
        <w:spacing w:line="200" w:lineRule="atLeast"/>
        <w:rPr>
          <w:rFonts w:ascii="Arial" w:hAnsi="Arial" w:cs="Arial"/>
          <w:b/>
        </w:rPr>
      </w:pPr>
      <w:r>
        <w:rPr>
          <w:rFonts w:ascii="Arial" w:hAnsi="Arial"/>
          <w:b/>
        </w:rPr>
        <w:t xml:space="preserve">Tenemos novedades interesantes en el grupo de compresores para obras de 7,5 a 8 m³. Hemos hecho dos de uno. Los compresores para obras M76 y M81 sustituyen al modelo M82 y cumplen las normas de emisiones actuales: nivel de gases de escape V para la UE y </w:t>
      </w:r>
      <w:proofErr w:type="spellStart"/>
      <w:r>
        <w:rPr>
          <w:rFonts w:ascii="Arial" w:hAnsi="Arial"/>
          <w:b/>
        </w:rPr>
        <w:t>Tier</w:t>
      </w:r>
      <w:proofErr w:type="spellEnd"/>
      <w:r>
        <w:rPr>
          <w:rFonts w:ascii="Arial" w:hAnsi="Arial"/>
          <w:b/>
        </w:rPr>
        <w:t xml:space="preserve"> 4 para Norteamérica. Con estos nuevos modelos, la serie Mobilair se centra en la eficiencia, la facilidad de mantenimiento y la comodidad de manejo.</w:t>
      </w:r>
    </w:p>
    <w:p w:rsidR="00E90BC5" w:rsidRPr="00BF6CA2" w:rsidRDefault="00E90BC5" w:rsidP="00E90BC5">
      <w:pPr>
        <w:pStyle w:val="StandardWeb"/>
        <w:spacing w:line="200" w:lineRule="atLeast"/>
        <w:rPr>
          <w:rFonts w:ascii="Arial" w:hAnsi="Arial" w:cs="Arial"/>
        </w:rPr>
      </w:pPr>
      <w:r>
        <w:rPr>
          <w:rFonts w:ascii="Arial" w:hAnsi="Arial"/>
        </w:rPr>
        <w:t xml:space="preserve">El aspecto de ambas unidades es idéntico, y su equipamiento técnico también es parecido. Sin embargo, sus motores son diferentes: El M76 lleva un motor Kubota, mientras que </w:t>
      </w:r>
      <w:proofErr w:type="gramStart"/>
      <w:r>
        <w:rPr>
          <w:rFonts w:ascii="Arial" w:hAnsi="Arial"/>
        </w:rPr>
        <w:t>el  M</w:t>
      </w:r>
      <w:proofErr w:type="gramEnd"/>
      <w:r>
        <w:rPr>
          <w:rFonts w:ascii="Arial" w:hAnsi="Arial"/>
        </w:rPr>
        <w:t xml:space="preserve">81 está equipado con un motor </w:t>
      </w:r>
      <w:proofErr w:type="spellStart"/>
      <w:r>
        <w:rPr>
          <w:rFonts w:ascii="Arial" w:hAnsi="Arial"/>
        </w:rPr>
        <w:t>Hatz</w:t>
      </w:r>
      <w:proofErr w:type="spellEnd"/>
      <w:r>
        <w:rPr>
          <w:rFonts w:ascii="Arial" w:hAnsi="Arial"/>
        </w:rPr>
        <w:t xml:space="preserve">. Ninguno de los dos compresores cuenta con un sistema SCR ni usa </w:t>
      </w:r>
      <w:proofErr w:type="spellStart"/>
      <w:r>
        <w:rPr>
          <w:rFonts w:ascii="Arial" w:hAnsi="Arial"/>
        </w:rPr>
        <w:t>AdBlue</w:t>
      </w:r>
      <w:proofErr w:type="spellEnd"/>
      <w:r>
        <w:rPr>
          <w:rFonts w:ascii="Arial" w:hAnsi="Arial"/>
        </w:rPr>
        <w:t>, lo cual simplifica el tratamiento final de los gases de escape.</w:t>
      </w:r>
    </w:p>
    <w:p w:rsidR="00E90BC5" w:rsidRPr="00BF6CA2" w:rsidRDefault="00E90BC5" w:rsidP="00E90BC5">
      <w:pPr>
        <w:pStyle w:val="StandardWeb"/>
        <w:spacing w:line="200" w:lineRule="atLeast"/>
        <w:rPr>
          <w:rFonts w:ascii="Arial" w:hAnsi="Arial" w:cs="Arial"/>
        </w:rPr>
      </w:pPr>
      <w:r>
        <w:rPr>
          <w:rFonts w:ascii="Arial" w:hAnsi="Arial"/>
        </w:rPr>
        <w:t xml:space="preserve">Una gran ventaja viene dada por su flexibilidad en el suministro de aire comprimido: los dos modelos funcionan con dos niveles de presión, de 6-10,3 bar y de 6-14 bar, ajustables de forma continua. La innovadora regulación </w:t>
      </w:r>
      <w:proofErr w:type="spellStart"/>
      <w:r>
        <w:rPr>
          <w:rFonts w:ascii="Arial" w:hAnsi="Arial"/>
        </w:rPr>
        <w:t>pV</w:t>
      </w:r>
      <w:proofErr w:type="spellEnd"/>
      <w:r>
        <w:rPr>
          <w:rFonts w:ascii="Arial" w:hAnsi="Arial"/>
        </w:rPr>
        <w:t xml:space="preserve"> se encarga de que el flujo volumétrico aumente cuando se reduce la presión de servicio. Esta es una función que conlleva muchas ventajas, sobre todo en limpieza criogénica, ya que el proceso se realiza cuidando más los materiales y en menos tiempo.</w:t>
      </w:r>
    </w:p>
    <w:p w:rsidR="00E90BC5" w:rsidRPr="00BF6CA2" w:rsidRDefault="00E90BC5" w:rsidP="00E90BC5">
      <w:pPr>
        <w:pStyle w:val="StandardWeb"/>
        <w:spacing w:line="200" w:lineRule="atLeast"/>
        <w:rPr>
          <w:rFonts w:ascii="Arial" w:hAnsi="Arial" w:cs="Arial"/>
        </w:rPr>
      </w:pPr>
      <w:r>
        <w:rPr>
          <w:rFonts w:ascii="Arial" w:hAnsi="Arial"/>
        </w:rPr>
        <w:t xml:space="preserve">El usuario puede optar también a distintos componentes de tratamiento para el aire comprimido, como los refrigeradores finales de aire comprimido, que permiten contar con un aire libre de condensado, o las combinaciones de microfiltros, que proporciona un aire técnicamente libre de aceite. La temperatura de salida del aire comprimido regulable, combinada con un recalentamiento opcional, ofrece otras ventajas en tareas de chorreado, por ejemplo. </w:t>
      </w:r>
    </w:p>
    <w:p w:rsidR="00E90BC5" w:rsidRPr="00BF6CA2" w:rsidRDefault="00E90BC5" w:rsidP="00E90BC5">
      <w:pPr>
        <w:pStyle w:val="StandardWeb"/>
        <w:spacing w:line="200" w:lineRule="atLeast"/>
        <w:rPr>
          <w:rFonts w:ascii="Arial" w:hAnsi="Arial" w:cs="Arial"/>
        </w:rPr>
      </w:pPr>
      <w:r>
        <w:rPr>
          <w:rFonts w:ascii="Arial" w:hAnsi="Arial"/>
        </w:rPr>
        <w:t xml:space="preserve">Y otro punto positivo: para obras en las que se necesite electricidad, tanto los M76 como los M81 pueden equiparse con un generador. Existen dos potencias a elegir, de 8,5 </w:t>
      </w:r>
      <w:proofErr w:type="spellStart"/>
      <w:r>
        <w:rPr>
          <w:rFonts w:ascii="Arial" w:hAnsi="Arial"/>
        </w:rPr>
        <w:t>kVA</w:t>
      </w:r>
      <w:proofErr w:type="spellEnd"/>
      <w:r>
        <w:rPr>
          <w:rFonts w:ascii="Arial" w:hAnsi="Arial"/>
        </w:rPr>
        <w:t xml:space="preserve"> y de 13 </w:t>
      </w:r>
      <w:proofErr w:type="spellStart"/>
      <w:r>
        <w:rPr>
          <w:rFonts w:ascii="Arial" w:hAnsi="Arial"/>
        </w:rPr>
        <w:t>kVA</w:t>
      </w:r>
      <w:proofErr w:type="spellEnd"/>
      <w:r>
        <w:rPr>
          <w:rFonts w:ascii="Arial" w:hAnsi="Arial"/>
        </w:rPr>
        <w:t>. Su regulación inteligente permite una distribución flexible de la potencia, de modo que quede disponible la máxima potencia posible para el compresor según la demanda de electricidad de cada momento.</w:t>
      </w:r>
    </w:p>
    <w:p w:rsidR="00E90BC5" w:rsidRPr="00BF6CA2" w:rsidRDefault="00E90BC5" w:rsidP="00E90BC5">
      <w:pPr>
        <w:pStyle w:val="StandardWeb"/>
        <w:spacing w:line="200" w:lineRule="atLeast"/>
        <w:rPr>
          <w:rFonts w:ascii="Arial" w:hAnsi="Arial" w:cs="Arial"/>
        </w:rPr>
      </w:pPr>
      <w:r>
        <w:rPr>
          <w:rFonts w:ascii="Arial" w:hAnsi="Arial"/>
        </w:rPr>
        <w:t xml:space="preserve">Los nuevos modelos destacan también por su manejo y mantenimiento optimizados. El manejo es extraordinariamente sencillo e incluye una desconexión automática. </w:t>
      </w:r>
      <w:r>
        <w:rPr>
          <w:rFonts w:ascii="Arial" w:hAnsi="Arial"/>
        </w:rPr>
        <w:lastRenderedPageBreak/>
        <w:t>Los nuevos cartuchos Spin-</w:t>
      </w:r>
      <w:proofErr w:type="spellStart"/>
      <w:r>
        <w:rPr>
          <w:rFonts w:ascii="Arial" w:hAnsi="Arial"/>
        </w:rPr>
        <w:t>on</w:t>
      </w:r>
      <w:proofErr w:type="spellEnd"/>
      <w:r>
        <w:rPr>
          <w:rFonts w:ascii="Arial" w:hAnsi="Arial"/>
        </w:rPr>
        <w:t xml:space="preserve"> para la separación del aceite pueden cambiarse con rapidez y generan menos residuos.</w:t>
      </w:r>
    </w:p>
    <w:p w:rsidR="00E90BC5" w:rsidRDefault="00E90BC5" w:rsidP="00E90BC5">
      <w:pPr>
        <w:pStyle w:val="StandardWeb"/>
        <w:spacing w:line="200" w:lineRule="atLeast"/>
        <w:rPr>
          <w:rFonts w:ascii="Arial" w:hAnsi="Arial" w:cs="Arial"/>
        </w:rPr>
      </w:pPr>
      <w:r>
        <w:rPr>
          <w:rFonts w:ascii="Arial" w:hAnsi="Arial"/>
        </w:rPr>
        <w:t>Dependiendo del equipamiento, los chasis pueden tener un peso de 1500 kg o de 1800 kg. También existe la opción a una variante sobre trineo.</w:t>
      </w:r>
    </w:p>
    <w:p w:rsidR="00E90BC5" w:rsidRDefault="00E90BC5" w:rsidP="00E90BC5">
      <w:pPr>
        <w:spacing w:after="240" w:line="200" w:lineRule="atLeast"/>
        <w:rPr>
          <w:rFonts w:ascii="Arial" w:hAnsi="Arial" w:cs="Arial"/>
          <w:sz w:val="24"/>
          <w:szCs w:val="24"/>
        </w:rPr>
      </w:pPr>
    </w:p>
    <w:p w:rsidR="00E90BC5" w:rsidRDefault="00E90BC5" w:rsidP="00E90BC5">
      <w:pPr>
        <w:pBdr>
          <w:bottom w:val="single" w:sz="6" w:space="1" w:color="auto"/>
        </w:pBdr>
        <w:spacing w:after="0" w:line="200" w:lineRule="atLeast"/>
        <w:rPr>
          <w:rFonts w:ascii="Arial" w:hAnsi="Arial" w:cs="Arial"/>
          <w:sz w:val="24"/>
          <w:szCs w:val="24"/>
        </w:rPr>
      </w:pPr>
      <w:r>
        <w:rPr>
          <w:rFonts w:ascii="Arial" w:hAnsi="Arial"/>
          <w:sz w:val="24"/>
        </w:rPr>
        <w:t>Reproducción libre, solicite documento</w:t>
      </w:r>
    </w:p>
    <w:p w:rsidR="00E90BC5" w:rsidRDefault="00E90BC5" w:rsidP="00E90BC5">
      <w:pPr>
        <w:spacing w:after="0" w:line="200" w:lineRule="atLeast"/>
        <w:rPr>
          <w:rFonts w:ascii="Arial" w:hAnsi="Arial" w:cs="Arial"/>
          <w:sz w:val="24"/>
          <w:szCs w:val="24"/>
        </w:rPr>
      </w:pPr>
    </w:p>
    <w:p w:rsidR="00E90BC5" w:rsidRDefault="00E90BC5" w:rsidP="00E90BC5">
      <w:pPr>
        <w:spacing w:after="0" w:line="200" w:lineRule="atLeast"/>
        <w:rPr>
          <w:rFonts w:ascii="Arial" w:hAnsi="Arial" w:cs="Arial"/>
          <w:sz w:val="24"/>
          <w:szCs w:val="24"/>
        </w:rPr>
      </w:pPr>
      <w:r>
        <w:rPr>
          <w:rFonts w:ascii="Arial" w:hAnsi="Arial"/>
          <w:sz w:val="24"/>
        </w:rPr>
        <w:t xml:space="preserve">Leyenda: </w:t>
      </w:r>
    </w:p>
    <w:p w:rsidR="00E90BC5" w:rsidRDefault="00E90BC5" w:rsidP="00E90BC5">
      <w:pPr>
        <w:spacing w:after="0" w:line="200" w:lineRule="atLeast"/>
        <w:rPr>
          <w:rFonts w:ascii="Arial" w:hAnsi="Arial" w:cs="Arial"/>
          <w:sz w:val="24"/>
          <w:szCs w:val="24"/>
        </w:rPr>
      </w:pPr>
    </w:p>
    <w:p w:rsidR="00E90BC5" w:rsidRDefault="00E90BC5" w:rsidP="00E90BC5">
      <w:pPr>
        <w:spacing w:after="0" w:line="200" w:lineRule="atLeast"/>
        <w:rPr>
          <w:rFonts w:ascii="Arial" w:hAnsi="Arial" w:cs="Arial"/>
          <w:i/>
          <w:sz w:val="24"/>
          <w:szCs w:val="24"/>
        </w:rPr>
      </w:pPr>
      <w:r>
        <w:rPr>
          <w:noProof/>
        </w:rPr>
        <w:drawing>
          <wp:inline distT="0" distB="0" distL="0" distR="0" wp14:anchorId="31000959" wp14:editId="6973759E">
            <wp:extent cx="1250302" cy="881277"/>
            <wp:effectExtent l="0" t="0" r="762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304890" cy="919753"/>
                    </a:xfrm>
                    <a:prstGeom prst="rect">
                      <a:avLst/>
                    </a:prstGeom>
                  </pic:spPr>
                </pic:pic>
              </a:graphicData>
            </a:graphic>
          </wp:inline>
        </w:drawing>
      </w:r>
    </w:p>
    <w:p w:rsidR="00E90BC5" w:rsidRPr="008D66F7" w:rsidRDefault="00E90BC5" w:rsidP="00E90BC5">
      <w:pPr>
        <w:spacing w:after="0" w:line="200" w:lineRule="atLeast"/>
        <w:rPr>
          <w:rFonts w:ascii="Arial" w:hAnsi="Arial" w:cs="Arial"/>
          <w:i/>
          <w:sz w:val="24"/>
          <w:szCs w:val="24"/>
        </w:rPr>
      </w:pPr>
    </w:p>
    <w:p w:rsidR="00E90BC5" w:rsidRDefault="00E90BC5" w:rsidP="00E90BC5">
      <w:pPr>
        <w:spacing w:after="0" w:line="200" w:lineRule="atLeast"/>
        <w:rPr>
          <w:rFonts w:ascii="Arial" w:hAnsi="Arial" w:cs="Arial"/>
          <w:sz w:val="24"/>
          <w:szCs w:val="24"/>
        </w:rPr>
      </w:pPr>
      <w:r>
        <w:rPr>
          <w:rFonts w:ascii="Arial" w:hAnsi="Arial"/>
          <w:sz w:val="24"/>
        </w:rPr>
        <w:t xml:space="preserve">La elección óptima para todo el mundo: M76 con motor Kubota o M81 con motor </w:t>
      </w:r>
      <w:proofErr w:type="spellStart"/>
      <w:r>
        <w:rPr>
          <w:rFonts w:ascii="Arial" w:hAnsi="Arial"/>
          <w:sz w:val="24"/>
        </w:rPr>
        <w:t>Hatz</w:t>
      </w:r>
      <w:proofErr w:type="spellEnd"/>
      <w:r>
        <w:rPr>
          <w:rFonts w:ascii="Arial" w:hAnsi="Arial"/>
          <w:sz w:val="24"/>
        </w:rPr>
        <w:t xml:space="preserve">. </w:t>
      </w:r>
    </w:p>
    <w:p w:rsidR="00E90BC5" w:rsidRDefault="00E90BC5" w:rsidP="00E90BC5">
      <w:pPr>
        <w:spacing w:after="0" w:line="240" w:lineRule="auto"/>
        <w:rPr>
          <w:rFonts w:ascii="Arial" w:hAnsi="Arial" w:cs="Arial"/>
          <w:sz w:val="24"/>
          <w:szCs w:val="24"/>
        </w:rPr>
      </w:pPr>
    </w:p>
    <w:p w:rsidR="0025000E" w:rsidRPr="00E90BC5" w:rsidRDefault="0025000E" w:rsidP="00E90BC5">
      <w:bookmarkStart w:id="0" w:name="_GoBack"/>
      <w:bookmarkEnd w:id="0"/>
    </w:p>
    <w:sectPr w:rsidR="0025000E" w:rsidRPr="00E90BC5" w:rsidSect="0026163F">
      <w:headerReference w:type="even" r:id="rId8"/>
      <w:headerReference w:type="default" r:id="rId9"/>
      <w:footerReference w:type="default" r:id="rId10"/>
      <w:headerReference w:type="first" r:id="rId11"/>
      <w:footerReference w:type="first" r:id="rId12"/>
      <w:pgSz w:w="11906" w:h="16838" w:code="9"/>
      <w:pgMar w:top="1134" w:right="1418" w:bottom="1134" w:left="1418" w:header="1588" w:footer="15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B3198" w:rsidRDefault="004B3198" w:rsidP="004B3198">
      <w:pPr>
        <w:spacing w:after="0" w:line="240" w:lineRule="auto"/>
      </w:pPr>
      <w:r>
        <w:separator/>
      </w:r>
    </w:p>
  </w:endnote>
  <w:endnote w:type="continuationSeparator" w:id="0">
    <w:p w:rsidR="004B3198" w:rsidRDefault="004B3198" w:rsidP="004B3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198" w:rsidRDefault="004B3198" w:rsidP="00EA1547">
    <w:pPr>
      <w:pStyle w:val="Fuzeile"/>
      <w:jc w:val="center"/>
    </w:pPr>
  </w:p>
  <w:p w:rsidR="00F04B6C" w:rsidRDefault="00F04B6C" w:rsidP="00EA1547">
    <w:pPr>
      <w:pStyle w:val="Fuzeile"/>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4B6C" w:rsidRDefault="00F04B6C">
    <w:pPr>
      <w:pStyle w:val="Fuzeile"/>
    </w:pPr>
  </w:p>
  <w:p w:rsidR="00F04B6C" w:rsidRDefault="00F04B6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B3198" w:rsidRDefault="004B3198" w:rsidP="004B3198">
      <w:pPr>
        <w:spacing w:after="0" w:line="240" w:lineRule="auto"/>
      </w:pPr>
      <w:r>
        <w:separator/>
      </w:r>
    </w:p>
  </w:footnote>
  <w:footnote w:type="continuationSeparator" w:id="0">
    <w:p w:rsidR="004B3198" w:rsidRDefault="004B3198" w:rsidP="004B31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198" w:rsidRDefault="00E90BC5">
    <w:pPr>
      <w:pStyle w:val="Kopfzeil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629219" o:spid="_x0000_s2068" type="#_x0000_t75" style="position:absolute;margin-left:0;margin-top:0;width:595.2pt;height:841.9pt;z-index:-251657216;mso-position-horizontal:center;mso-position-horizontal-relative:margin;mso-position-vertical:center;mso-position-vertical-relative:margin" o:allowincell="f">
          <v:imagedata r:id="rId1" o:title="Spanische Vorlag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2CB6" w:rsidRPr="00AD2867" w:rsidRDefault="00E90BC5" w:rsidP="00937D46">
    <w:pPr>
      <w:pStyle w:val="Kopfzeile"/>
      <w:tabs>
        <w:tab w:val="left" w:pos="7088"/>
      </w:tabs>
      <w:spacing w:before="120" w:after="40"/>
      <w:rPr>
        <w:rFonts w:ascii="Arial" w:hAnsi="Arial" w:cs="Arial"/>
        <w:b/>
        <w:sz w:val="24"/>
        <w:szCs w:val="24"/>
      </w:rPr>
    </w:pPr>
    <w:r>
      <w:rPr>
        <w:b/>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629220" o:spid="_x0000_s2069" type="#_x0000_t75" style="position:absolute;margin-left:0;margin-top:0;width:595.2pt;height:841.9pt;z-index:-251656192;mso-position-horizontal:absolute;mso-position-horizontal-relative:left-margin-area;mso-position-vertical:absolute;mso-position-vertical-relative:top-margin-area" o:allowincell="f">
          <v:imagedata r:id="rId1" o:title="Spanische Vorlage"/>
          <w10:wrap anchorx="margin" anchory="margin"/>
        </v:shape>
      </w:pict>
    </w:r>
    <w:r w:rsidR="00937D46">
      <w:rPr>
        <w:b/>
      </w:rPr>
      <w:tab/>
    </w:r>
    <w:r w:rsidR="005A2CB6" w:rsidRPr="00AD2867">
      <w:rPr>
        <w:b/>
      </w:rPr>
      <w:tab/>
    </w:r>
    <w:sdt>
      <w:sdtPr>
        <w:rPr>
          <w:b/>
        </w:rPr>
        <w:id w:val="98381352"/>
        <w:docPartObj>
          <w:docPartGallery w:val="Page Numbers (Top of Page)"/>
          <w:docPartUnique/>
        </w:docPartObj>
      </w:sdtPr>
      <w:sdtEndPr>
        <w:rPr>
          <w:rFonts w:ascii="Arial" w:hAnsi="Arial" w:cs="Arial"/>
          <w:b w:val="0"/>
          <w:sz w:val="24"/>
          <w:szCs w:val="24"/>
        </w:rPr>
      </w:sdtEndPr>
      <w:sdtContent>
        <w:r w:rsidR="005A2CB6" w:rsidRPr="00AD2867">
          <w:rPr>
            <w:rFonts w:ascii="Arial" w:hAnsi="Arial" w:cs="Arial"/>
            <w:bCs/>
            <w:sz w:val="24"/>
            <w:szCs w:val="24"/>
          </w:rPr>
          <w:fldChar w:fldCharType="begin"/>
        </w:r>
        <w:r w:rsidR="005A2CB6" w:rsidRPr="00AD2867">
          <w:rPr>
            <w:rFonts w:ascii="Arial" w:hAnsi="Arial" w:cs="Arial"/>
            <w:bCs/>
            <w:sz w:val="24"/>
            <w:szCs w:val="24"/>
          </w:rPr>
          <w:instrText>PAGE</w:instrText>
        </w:r>
        <w:r w:rsidR="005A2CB6" w:rsidRPr="00AD2867">
          <w:rPr>
            <w:rFonts w:ascii="Arial" w:hAnsi="Arial" w:cs="Arial"/>
            <w:bCs/>
            <w:sz w:val="24"/>
            <w:szCs w:val="24"/>
          </w:rPr>
          <w:fldChar w:fldCharType="separate"/>
        </w:r>
        <w:r w:rsidR="005A2CB6" w:rsidRPr="00AD2867">
          <w:rPr>
            <w:rFonts w:ascii="Arial" w:hAnsi="Arial" w:cs="Arial"/>
            <w:bCs/>
            <w:sz w:val="24"/>
            <w:szCs w:val="24"/>
          </w:rPr>
          <w:t>2</w:t>
        </w:r>
        <w:r w:rsidR="005A2CB6" w:rsidRPr="00AD2867">
          <w:rPr>
            <w:rFonts w:ascii="Arial" w:hAnsi="Arial" w:cs="Arial"/>
            <w:bCs/>
            <w:sz w:val="24"/>
            <w:szCs w:val="24"/>
          </w:rPr>
          <w:fldChar w:fldCharType="end"/>
        </w:r>
        <w:r w:rsidR="005A2CB6" w:rsidRPr="00AD2867">
          <w:rPr>
            <w:rFonts w:ascii="Arial" w:hAnsi="Arial" w:cs="Arial"/>
            <w:sz w:val="24"/>
            <w:szCs w:val="24"/>
          </w:rPr>
          <w:t>/</w:t>
        </w:r>
        <w:r w:rsidR="005A2CB6" w:rsidRPr="00AD2867">
          <w:rPr>
            <w:rFonts w:ascii="Arial" w:hAnsi="Arial" w:cs="Arial"/>
            <w:bCs/>
            <w:sz w:val="24"/>
            <w:szCs w:val="24"/>
          </w:rPr>
          <w:fldChar w:fldCharType="begin"/>
        </w:r>
        <w:r w:rsidR="005A2CB6" w:rsidRPr="00AD2867">
          <w:rPr>
            <w:rFonts w:ascii="Arial" w:hAnsi="Arial" w:cs="Arial"/>
            <w:bCs/>
            <w:sz w:val="24"/>
            <w:szCs w:val="24"/>
          </w:rPr>
          <w:instrText>NUMPAGES</w:instrText>
        </w:r>
        <w:r w:rsidR="005A2CB6" w:rsidRPr="00AD2867">
          <w:rPr>
            <w:rFonts w:ascii="Arial" w:hAnsi="Arial" w:cs="Arial"/>
            <w:bCs/>
            <w:sz w:val="24"/>
            <w:szCs w:val="24"/>
          </w:rPr>
          <w:fldChar w:fldCharType="separate"/>
        </w:r>
        <w:r w:rsidR="005A2CB6" w:rsidRPr="00AD2867">
          <w:rPr>
            <w:rFonts w:ascii="Arial" w:hAnsi="Arial" w:cs="Arial"/>
            <w:bCs/>
            <w:sz w:val="24"/>
            <w:szCs w:val="24"/>
          </w:rPr>
          <w:t>2</w:t>
        </w:r>
        <w:r w:rsidR="005A2CB6" w:rsidRPr="00AD2867">
          <w:rPr>
            <w:rFonts w:ascii="Arial" w:hAnsi="Arial" w:cs="Arial"/>
            <w:bCs/>
            <w:sz w:val="24"/>
            <w:szCs w:val="24"/>
          </w:rPr>
          <w:fldChar w:fldCharType="end"/>
        </w:r>
      </w:sdtContent>
    </w:sdt>
  </w:p>
  <w:p w:rsidR="00937D46" w:rsidRDefault="00937D46" w:rsidP="00CD1046">
    <w:pPr>
      <w:pStyle w:val="Kopfzeile"/>
      <w:spacing w:after="20"/>
    </w:pPr>
  </w:p>
  <w:p w:rsidR="005A2CB6" w:rsidRDefault="005A2CB6" w:rsidP="00CD1046">
    <w:pPr>
      <w:pStyle w:val="Kopfzeile"/>
      <w:spacing w:after="20"/>
    </w:pPr>
  </w:p>
  <w:p w:rsidR="004B3198" w:rsidRDefault="004B3198" w:rsidP="00937D46">
    <w:pPr>
      <w:pStyle w:val="Kopfzeile"/>
      <w:spacing w:after="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7D46" w:rsidRDefault="00E90BC5" w:rsidP="00F04B6C">
    <w:pPr>
      <w:pStyle w:val="Kopfzeile"/>
      <w:contextualSpacing/>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629218" o:spid="_x0000_s2067" type="#_x0000_t75" style="position:absolute;margin-left:0;margin-top:0;width:595.2pt;height:841.9pt;z-index:-251658240;mso-position-horizontal:absolute;mso-position-horizontal-relative:page;mso-position-vertical:absolute;mso-position-vertical-relative:top-margin-area" o:allowincell="f">
          <v:imagedata r:id="rId1" o:title="Spanische Vorlage"/>
          <w10:wrap anchorx="page" anchory="margin"/>
        </v:shape>
      </w:pict>
    </w:r>
  </w:p>
  <w:p w:rsidR="00937D46" w:rsidRDefault="00937D46" w:rsidP="00F04B6C">
    <w:pPr>
      <w:pStyle w:val="Kopfzeile"/>
      <w:contextualSpacing/>
    </w:pPr>
  </w:p>
  <w:p w:rsidR="00937D46" w:rsidRDefault="00937D46" w:rsidP="00F04B6C">
    <w:pPr>
      <w:pStyle w:val="Kopfzeile"/>
      <w:contextualSpacing/>
    </w:pPr>
  </w:p>
  <w:p w:rsidR="00660CC9" w:rsidRDefault="00660CC9" w:rsidP="00F04B6C">
    <w:pPr>
      <w:pStyle w:val="Kopfzeile"/>
      <w:contextualSpacing/>
    </w:pPr>
  </w:p>
  <w:p w:rsidR="00937D46" w:rsidRDefault="00937D46" w:rsidP="00F04B6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proofState w:spelling="clean" w:grammar="clean"/>
  <w:defaultTabStop w:val="708"/>
  <w:hyphenationZone w:val="425"/>
  <w:characterSpacingControl w:val="doNotCompress"/>
  <w:hdrShapeDefaults>
    <o:shapedefaults v:ext="edit" spidmax="207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198"/>
    <w:rsid w:val="000B1EF6"/>
    <w:rsid w:val="000F7398"/>
    <w:rsid w:val="00125DF1"/>
    <w:rsid w:val="00131823"/>
    <w:rsid w:val="001469AE"/>
    <w:rsid w:val="00214F1D"/>
    <w:rsid w:val="0025000E"/>
    <w:rsid w:val="0026163F"/>
    <w:rsid w:val="00297AE2"/>
    <w:rsid w:val="00367F7E"/>
    <w:rsid w:val="003C5323"/>
    <w:rsid w:val="003E1A0F"/>
    <w:rsid w:val="00485249"/>
    <w:rsid w:val="004B3198"/>
    <w:rsid w:val="005A2CB6"/>
    <w:rsid w:val="005B5FA9"/>
    <w:rsid w:val="00605C85"/>
    <w:rsid w:val="00660CC9"/>
    <w:rsid w:val="00780178"/>
    <w:rsid w:val="00937D46"/>
    <w:rsid w:val="00A52556"/>
    <w:rsid w:val="00AA1F98"/>
    <w:rsid w:val="00AD2867"/>
    <w:rsid w:val="00BE4E56"/>
    <w:rsid w:val="00C9170C"/>
    <w:rsid w:val="00CA1C81"/>
    <w:rsid w:val="00CD1046"/>
    <w:rsid w:val="00D73389"/>
    <w:rsid w:val="00E90BC5"/>
    <w:rsid w:val="00EA1547"/>
    <w:rsid w:val="00EC19C7"/>
    <w:rsid w:val="00F04B6C"/>
    <w:rsid w:val="00F570A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70"/>
    <o:shapelayout v:ext="edit">
      <o:idmap v:ext="edit" data="1"/>
    </o:shapelayout>
  </w:shapeDefaults>
  <w:decimalSymbol w:val=","/>
  <w:listSeparator w:val=";"/>
  <w15:chartTrackingRefBased/>
  <w15:docId w15:val="{F699C70D-3AFE-4DEC-93AE-455B27890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E90BC5"/>
    <w:rPr>
      <w:lang w:val="es-E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B3198"/>
    <w:pPr>
      <w:tabs>
        <w:tab w:val="center" w:pos="4536"/>
        <w:tab w:val="right" w:pos="9072"/>
      </w:tabs>
      <w:spacing w:after="0" w:line="240" w:lineRule="auto"/>
    </w:pPr>
    <w:rPr>
      <w:lang w:val="de-DE"/>
    </w:rPr>
  </w:style>
  <w:style w:type="character" w:customStyle="1" w:styleId="KopfzeileZchn">
    <w:name w:val="Kopfzeile Zchn"/>
    <w:basedOn w:val="Absatz-Standardschriftart"/>
    <w:link w:val="Kopfzeile"/>
    <w:uiPriority w:val="99"/>
    <w:rsid w:val="004B3198"/>
  </w:style>
  <w:style w:type="paragraph" w:styleId="Fuzeile">
    <w:name w:val="footer"/>
    <w:basedOn w:val="Standard"/>
    <w:link w:val="FuzeileZchn"/>
    <w:uiPriority w:val="99"/>
    <w:unhideWhenUsed/>
    <w:rsid w:val="004B3198"/>
    <w:pPr>
      <w:tabs>
        <w:tab w:val="center" w:pos="4536"/>
        <w:tab w:val="right" w:pos="9072"/>
      </w:tabs>
      <w:spacing w:after="0" w:line="240" w:lineRule="auto"/>
    </w:pPr>
    <w:rPr>
      <w:lang w:val="de-DE"/>
    </w:rPr>
  </w:style>
  <w:style w:type="character" w:customStyle="1" w:styleId="FuzeileZchn">
    <w:name w:val="Fußzeile Zchn"/>
    <w:basedOn w:val="Absatz-Standardschriftart"/>
    <w:link w:val="Fuzeile"/>
    <w:uiPriority w:val="99"/>
    <w:rsid w:val="004B3198"/>
  </w:style>
  <w:style w:type="paragraph" w:styleId="StandardWeb">
    <w:name w:val="Normal (Web)"/>
    <w:basedOn w:val="Standard"/>
    <w:uiPriority w:val="99"/>
    <w:unhideWhenUsed/>
    <w:rsid w:val="00E90BC5"/>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6F48C2-0717-42C7-8651-F6E0C8986B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367</Words>
  <Characters>2317</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KAESER</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Mueller, Michael</dc:creator>
  <cp:keywords/>
  <dc:description/>
  <cp:lastModifiedBy>Sachs, Elke</cp:lastModifiedBy>
  <cp:revision>2</cp:revision>
  <dcterms:created xsi:type="dcterms:W3CDTF">2025-02-19T12:21:00Z</dcterms:created>
  <dcterms:modified xsi:type="dcterms:W3CDTF">2025-02-19T12:21:00Z</dcterms:modified>
</cp:coreProperties>
</file>